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CA769" w14:textId="77777777" w:rsidR="00E46CD2" w:rsidRPr="00506117" w:rsidRDefault="00E46CD2" w:rsidP="00E46CD2">
      <w:pPr>
        <w:rPr>
          <w:rFonts w:ascii="Times New Roman" w:hAnsi="Times New Roman" w:cs="Times New Roman"/>
          <w:b/>
          <w:bCs/>
        </w:rPr>
      </w:pPr>
      <w:r w:rsidRPr="00506117">
        <w:rPr>
          <w:rFonts w:ascii="Times New Roman" w:hAnsi="Times New Roman" w:cs="Times New Roman"/>
          <w:b/>
          <w:bCs/>
        </w:rPr>
        <w:t>Supplementary Table S1. Full Search Strategies and Results (last search performed 03 December 2025)</w:t>
      </w:r>
    </w:p>
    <w:tbl>
      <w:tblPr>
        <w:tblW w:w="10890" w:type="dxa"/>
        <w:tblCellSpacing w:w="15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1524"/>
        <w:gridCol w:w="5534"/>
        <w:gridCol w:w="1492"/>
      </w:tblGrid>
      <w:tr w:rsidR="00E46CD2" w:rsidRPr="00506117" w14:paraId="2582E495" w14:textId="77777777" w:rsidTr="002E51E4">
        <w:trPr>
          <w:tblHeader/>
          <w:tblCellSpacing w:w="15" w:type="dxa"/>
        </w:trPr>
        <w:tc>
          <w:tcPr>
            <w:tcW w:w="2295" w:type="dxa"/>
            <w:tcBorders>
              <w:top w:val="single" w:sz="4" w:space="0" w:color="auto"/>
            </w:tcBorders>
            <w:vAlign w:val="center"/>
            <w:hideMark/>
          </w:tcPr>
          <w:p w14:paraId="10FF38E5" w14:textId="77777777" w:rsidR="00E46CD2" w:rsidRPr="00506117" w:rsidRDefault="00E46CD2" w:rsidP="002E51E4">
            <w:pPr>
              <w:rPr>
                <w:rFonts w:ascii="Times New Roman" w:hAnsi="Times New Roman" w:cs="Times New Roman"/>
                <w:b/>
                <w:bCs/>
              </w:rPr>
            </w:pPr>
            <w:r w:rsidRPr="00506117">
              <w:rPr>
                <w:rFonts w:ascii="Times New Roman" w:hAnsi="Times New Roman" w:cs="Times New Roman"/>
                <w:b/>
                <w:bCs/>
              </w:rPr>
              <w:t>Database/Source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  <w:hideMark/>
          </w:tcPr>
          <w:p w14:paraId="2A366330" w14:textId="77777777" w:rsidR="00E46CD2" w:rsidRPr="00506117" w:rsidRDefault="00E46CD2" w:rsidP="002E51E4">
            <w:pPr>
              <w:rPr>
                <w:rFonts w:ascii="Times New Roman" w:hAnsi="Times New Roman" w:cs="Times New Roman"/>
                <w:b/>
                <w:bCs/>
              </w:rPr>
            </w:pPr>
            <w:r w:rsidRPr="00506117">
              <w:rPr>
                <w:rFonts w:ascii="Times New Roman" w:hAnsi="Times New Roman" w:cs="Times New Roman"/>
                <w:b/>
                <w:bCs/>
              </w:rPr>
              <w:t>Date Range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387F28C" w14:textId="77777777" w:rsidR="00E46CD2" w:rsidRPr="00506117" w:rsidRDefault="00E46CD2" w:rsidP="002E51E4">
            <w:pPr>
              <w:rPr>
                <w:rFonts w:ascii="Times New Roman" w:hAnsi="Times New Roman" w:cs="Times New Roman"/>
                <w:b/>
                <w:bCs/>
              </w:rPr>
            </w:pPr>
            <w:r w:rsidRPr="00506117">
              <w:rPr>
                <w:rFonts w:ascii="Times New Roman" w:hAnsi="Times New Roman" w:cs="Times New Roman"/>
                <w:b/>
                <w:bCs/>
              </w:rPr>
              <w:t>Search Strategy (exact syntax)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vAlign w:val="center"/>
            <w:hideMark/>
          </w:tcPr>
          <w:p w14:paraId="11708AA0" w14:textId="77777777" w:rsidR="00E46CD2" w:rsidRPr="00506117" w:rsidRDefault="00E46CD2" w:rsidP="002E51E4">
            <w:pPr>
              <w:rPr>
                <w:rFonts w:ascii="Times New Roman" w:hAnsi="Times New Roman" w:cs="Times New Roman"/>
                <w:b/>
                <w:bCs/>
              </w:rPr>
            </w:pPr>
            <w:r w:rsidRPr="00506117">
              <w:rPr>
                <w:rFonts w:ascii="Times New Roman" w:hAnsi="Times New Roman" w:cs="Times New Roman"/>
                <w:b/>
                <w:bCs/>
              </w:rPr>
              <w:t>Hits</w:t>
            </w:r>
          </w:p>
        </w:tc>
      </w:tr>
      <w:tr w:rsidR="00E46CD2" w:rsidRPr="00506117" w14:paraId="0C706C62" w14:textId="77777777" w:rsidTr="002E51E4">
        <w:trPr>
          <w:tblCellSpacing w:w="15" w:type="dxa"/>
        </w:trPr>
        <w:tc>
          <w:tcPr>
            <w:tcW w:w="2295" w:type="dxa"/>
            <w:tcBorders>
              <w:top w:val="single" w:sz="4" w:space="0" w:color="auto"/>
            </w:tcBorders>
            <w:vAlign w:val="center"/>
            <w:hideMark/>
          </w:tcPr>
          <w:p w14:paraId="2987F468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MEDLINE (Ovid)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  <w:hideMark/>
          </w:tcPr>
          <w:p w14:paraId="5FB8102C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01 Jan 2010 – 03 Dec 2025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3515262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("sickle cell disease" OR SCD OR "β-thalassemia" OR "beta-thalassemia" OR "</w:t>
            </w:r>
            <w:proofErr w:type="spellStart"/>
            <w:r w:rsidRPr="00506117">
              <w:rPr>
                <w:rFonts w:ascii="Times New Roman" w:hAnsi="Times New Roman" w:cs="Times New Roman"/>
              </w:rPr>
              <w:t>thalassaemia</w:t>
            </w:r>
            <w:proofErr w:type="spellEnd"/>
            <w:r w:rsidRPr="00506117">
              <w:rPr>
                <w:rFonts w:ascii="Times New Roman" w:hAnsi="Times New Roman" w:cs="Times New Roman"/>
              </w:rPr>
              <w:t>" OR "thalassemia major" OR TDT OR "transfusion-dependent thalassemia") AND ("gene editing" OR "genome editing" OR CRISPR OR Cas9 OR "base editing" OR "prime editing" OR BCL11A OR HBG1 OR HBG2 OR "fetal hemoglobin" OR "</w:t>
            </w:r>
            <w:proofErr w:type="spellStart"/>
            <w:r w:rsidRPr="00506117">
              <w:rPr>
                <w:rFonts w:ascii="Times New Roman" w:hAnsi="Times New Roman" w:cs="Times New Roman"/>
              </w:rPr>
              <w:t>HbF</w:t>
            </w:r>
            <w:proofErr w:type="spellEnd"/>
            <w:r w:rsidRPr="00506117">
              <w:rPr>
                <w:rFonts w:ascii="Times New Roman" w:hAnsi="Times New Roman" w:cs="Times New Roman"/>
              </w:rPr>
              <w:t xml:space="preserve"> induction") AND (clinical* OR trial* OR patient* OR human*).</w:t>
            </w:r>
            <w:proofErr w:type="spellStart"/>
            <w:r w:rsidRPr="00506117">
              <w:rPr>
                <w:rFonts w:ascii="Times New Roman" w:hAnsi="Times New Roman" w:cs="Times New Roman"/>
              </w:rPr>
              <w:t>ti,ab,kw</w:t>
            </w:r>
            <w:proofErr w:type="spellEnd"/>
            <w:r w:rsidRPr="005061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vAlign w:val="center"/>
            <w:hideMark/>
          </w:tcPr>
          <w:p w14:paraId="51D250BE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542</w:t>
            </w:r>
          </w:p>
        </w:tc>
      </w:tr>
      <w:tr w:rsidR="00E46CD2" w:rsidRPr="00506117" w14:paraId="23F2F8B9" w14:textId="77777777" w:rsidTr="002E51E4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4FFA9988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EMBASE (Ovid)</w:t>
            </w:r>
          </w:p>
        </w:tc>
        <w:tc>
          <w:tcPr>
            <w:tcW w:w="1494" w:type="dxa"/>
            <w:vAlign w:val="center"/>
            <w:hideMark/>
          </w:tcPr>
          <w:p w14:paraId="5BE0DD82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01 Jan 2010 – 03 Dec 2025</w:t>
            </w:r>
          </w:p>
        </w:tc>
        <w:tc>
          <w:tcPr>
            <w:tcW w:w="0" w:type="auto"/>
            <w:vAlign w:val="center"/>
            <w:hideMark/>
          </w:tcPr>
          <w:p w14:paraId="5C9E9BAB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Same strategy as MEDLINE (adapted for Embase syntax)</w:t>
            </w:r>
          </w:p>
        </w:tc>
        <w:tc>
          <w:tcPr>
            <w:tcW w:w="1447" w:type="dxa"/>
            <w:vAlign w:val="center"/>
            <w:hideMark/>
          </w:tcPr>
          <w:p w14:paraId="4BC6C7FC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631</w:t>
            </w:r>
          </w:p>
        </w:tc>
      </w:tr>
      <w:tr w:rsidR="00E46CD2" w:rsidRPr="00506117" w14:paraId="4544C643" w14:textId="77777777" w:rsidTr="002E51E4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3B3C9372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Web of Science Core Collection</w:t>
            </w:r>
          </w:p>
        </w:tc>
        <w:tc>
          <w:tcPr>
            <w:tcW w:w="1494" w:type="dxa"/>
            <w:vAlign w:val="center"/>
            <w:hideMark/>
          </w:tcPr>
          <w:p w14:paraId="1DF145C5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01 Jan 2010 – 03 Dec 2025</w:t>
            </w:r>
          </w:p>
        </w:tc>
        <w:tc>
          <w:tcPr>
            <w:tcW w:w="0" w:type="auto"/>
            <w:vAlign w:val="center"/>
            <w:hideMark/>
          </w:tcPr>
          <w:p w14:paraId="4C0E69BD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TS=(("sickle cell disease" OR SCD OR "beta-thalassemia" OR "beta-</w:t>
            </w:r>
            <w:proofErr w:type="spellStart"/>
            <w:r w:rsidRPr="00506117">
              <w:rPr>
                <w:rFonts w:ascii="Times New Roman" w:hAnsi="Times New Roman" w:cs="Times New Roman"/>
              </w:rPr>
              <w:t>thalassaemia</w:t>
            </w:r>
            <w:proofErr w:type="spellEnd"/>
            <w:r w:rsidRPr="00506117">
              <w:rPr>
                <w:rFonts w:ascii="Times New Roman" w:hAnsi="Times New Roman" w:cs="Times New Roman"/>
              </w:rPr>
              <w:t>" OR TDT) AND ("gene editing" OR "genome editing" OR CRISPR OR "base editing" OR BCL11A OR HBG1 OR HBG2) AND (clinical OR trial OR patient))</w:t>
            </w:r>
          </w:p>
        </w:tc>
        <w:tc>
          <w:tcPr>
            <w:tcW w:w="1447" w:type="dxa"/>
            <w:vAlign w:val="center"/>
            <w:hideMark/>
          </w:tcPr>
          <w:p w14:paraId="5FFB42F6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70</w:t>
            </w:r>
          </w:p>
        </w:tc>
      </w:tr>
      <w:tr w:rsidR="00E46CD2" w:rsidRPr="00506117" w14:paraId="2BE93390" w14:textId="77777777" w:rsidTr="002E51E4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7A76CB95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ClinicalTrials.gov</w:t>
            </w:r>
          </w:p>
        </w:tc>
        <w:tc>
          <w:tcPr>
            <w:tcW w:w="1494" w:type="dxa"/>
            <w:vAlign w:val="center"/>
            <w:hideMark/>
          </w:tcPr>
          <w:p w14:paraId="3A6D0BC4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All years – 03 Dec 2025</w:t>
            </w:r>
          </w:p>
        </w:tc>
        <w:tc>
          <w:tcPr>
            <w:tcW w:w="0" w:type="auto"/>
            <w:vAlign w:val="center"/>
            <w:hideMark/>
          </w:tcPr>
          <w:p w14:paraId="046922C4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 xml:space="preserve">Condition: "sickle cell disease" OR "beta thalassemia" OR "thalassemia major" Other terms: "gene editing" OR CRISPR OR "base editing" OR BCL11A OR </w:t>
            </w:r>
            <w:proofErr w:type="spellStart"/>
            <w:r w:rsidRPr="00506117">
              <w:rPr>
                <w:rFonts w:ascii="Times New Roman" w:hAnsi="Times New Roman" w:cs="Times New Roman"/>
              </w:rPr>
              <w:t>exagamglogene</w:t>
            </w:r>
            <w:proofErr w:type="spellEnd"/>
            <w:r w:rsidRPr="00506117">
              <w:rPr>
                <w:rFonts w:ascii="Times New Roman" w:hAnsi="Times New Roman" w:cs="Times New Roman"/>
              </w:rPr>
              <w:t xml:space="preserve"> OR </w:t>
            </w:r>
            <w:proofErr w:type="spellStart"/>
            <w:r w:rsidRPr="00506117">
              <w:rPr>
                <w:rFonts w:ascii="Times New Roman" w:hAnsi="Times New Roman" w:cs="Times New Roman"/>
              </w:rPr>
              <w:t>nula-cel</w:t>
            </w:r>
            <w:proofErr w:type="spellEnd"/>
            <w:r w:rsidRPr="00506117">
              <w:rPr>
                <w:rFonts w:ascii="Times New Roman" w:hAnsi="Times New Roman" w:cs="Times New Roman"/>
              </w:rPr>
              <w:t xml:space="preserve"> OR BEAM-101 OR BRL-101 OR RM-001</w:t>
            </w:r>
          </w:p>
        </w:tc>
        <w:tc>
          <w:tcPr>
            <w:tcW w:w="1447" w:type="dxa"/>
            <w:vAlign w:val="center"/>
            <w:hideMark/>
          </w:tcPr>
          <w:p w14:paraId="50677465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18</w:t>
            </w:r>
          </w:p>
        </w:tc>
      </w:tr>
      <w:tr w:rsidR="00E46CD2" w:rsidRPr="00506117" w14:paraId="31F95526" w14:textId="77777777" w:rsidTr="002E51E4">
        <w:trPr>
          <w:tblCellSpacing w:w="15" w:type="dxa"/>
        </w:trPr>
        <w:tc>
          <w:tcPr>
            <w:tcW w:w="2295" w:type="dxa"/>
            <w:tcBorders>
              <w:bottom w:val="single" w:sz="4" w:space="0" w:color="auto"/>
            </w:tcBorders>
            <w:vAlign w:val="center"/>
            <w:hideMark/>
          </w:tcPr>
          <w:p w14:paraId="2C6BF23B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Hand-search (ASH, EHA, ASGCT annual meetings 2021–2025)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  <w:hideMark/>
          </w:tcPr>
          <w:p w14:paraId="44388FE2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2021–2025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8F4B1C2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Manual review of conference abstract books and online programs for the terms above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  <w:hideMark/>
          </w:tcPr>
          <w:p w14:paraId="6E544574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29</w:t>
            </w:r>
          </w:p>
        </w:tc>
      </w:tr>
    </w:tbl>
    <w:p w14:paraId="45445CC2" w14:textId="77777777" w:rsidR="00E46CD2" w:rsidRDefault="00E46CD2" w:rsidP="00E46CD2">
      <w:pPr>
        <w:rPr>
          <w:rFonts w:ascii="Times New Roman" w:hAnsi="Times New Roman" w:cs="Times New Roman"/>
          <w:b/>
          <w:bCs/>
        </w:rPr>
      </w:pPr>
    </w:p>
    <w:p w14:paraId="6AA76307" w14:textId="77777777" w:rsidR="00E46CD2" w:rsidRDefault="00E46CD2" w:rsidP="00E46CD2">
      <w:pPr>
        <w:rPr>
          <w:rFonts w:ascii="Times New Roman" w:hAnsi="Times New Roman" w:cs="Times New Roman"/>
          <w:b/>
          <w:bCs/>
        </w:rPr>
      </w:pPr>
    </w:p>
    <w:p w14:paraId="328EFA9B" w14:textId="77777777" w:rsidR="00E46CD2" w:rsidRDefault="00E46CD2" w:rsidP="00E46CD2">
      <w:pPr>
        <w:rPr>
          <w:rFonts w:ascii="Times New Roman" w:hAnsi="Times New Roman" w:cs="Times New Roman"/>
          <w:b/>
          <w:bCs/>
        </w:rPr>
      </w:pPr>
    </w:p>
    <w:p w14:paraId="3230D7D6" w14:textId="77777777" w:rsidR="00E46CD2" w:rsidRDefault="00E46CD2" w:rsidP="00E46CD2">
      <w:pPr>
        <w:rPr>
          <w:rFonts w:ascii="Times New Roman" w:hAnsi="Times New Roman" w:cs="Times New Roman"/>
          <w:b/>
          <w:bCs/>
        </w:rPr>
      </w:pPr>
    </w:p>
    <w:p w14:paraId="16D50A2E" w14:textId="77777777" w:rsidR="00E46CD2" w:rsidRDefault="00E46CD2" w:rsidP="00E46CD2">
      <w:pPr>
        <w:rPr>
          <w:rFonts w:ascii="Times New Roman" w:hAnsi="Times New Roman" w:cs="Times New Roman"/>
          <w:b/>
          <w:bCs/>
        </w:rPr>
      </w:pPr>
    </w:p>
    <w:p w14:paraId="05F44D99" w14:textId="77777777" w:rsidR="00E46CD2" w:rsidRDefault="00E46CD2" w:rsidP="00E46CD2">
      <w:pPr>
        <w:rPr>
          <w:rFonts w:ascii="Times New Roman" w:hAnsi="Times New Roman" w:cs="Times New Roman"/>
          <w:b/>
          <w:bCs/>
        </w:rPr>
      </w:pPr>
    </w:p>
    <w:p w14:paraId="0851939E" w14:textId="77777777" w:rsidR="00E46CD2" w:rsidRPr="00506117" w:rsidRDefault="00E46CD2" w:rsidP="00E46CD2">
      <w:pPr>
        <w:rPr>
          <w:rFonts w:ascii="Times New Roman" w:hAnsi="Times New Roman" w:cs="Times New Roman"/>
          <w:b/>
          <w:bCs/>
        </w:rPr>
      </w:pPr>
      <w:r w:rsidRPr="00506117">
        <w:rPr>
          <w:rFonts w:ascii="Times New Roman" w:hAnsi="Times New Roman" w:cs="Times New Roman"/>
          <w:b/>
          <w:bCs/>
        </w:rPr>
        <w:lastRenderedPageBreak/>
        <w:t>Supplementary Table S2. Studies Excluded Because of Overlapping/Duplicate Cohorts (most comprehensive or most recent report retained)</w:t>
      </w:r>
    </w:p>
    <w:tbl>
      <w:tblPr>
        <w:tblW w:w="10710" w:type="dxa"/>
        <w:tblCellSpacing w:w="15" w:type="dxa"/>
        <w:tblInd w:w="-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3068"/>
        <w:gridCol w:w="4247"/>
      </w:tblGrid>
      <w:tr w:rsidR="00E46CD2" w:rsidRPr="00506117" w14:paraId="3746C436" w14:textId="77777777" w:rsidTr="002E51E4">
        <w:trPr>
          <w:tblHeader/>
          <w:tblCellSpacing w:w="15" w:type="dxa"/>
        </w:trPr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C98CE3E" w14:textId="77777777" w:rsidR="00E46CD2" w:rsidRPr="00506117" w:rsidRDefault="00E46CD2" w:rsidP="002E51E4">
            <w:pPr>
              <w:rPr>
                <w:rFonts w:ascii="Times New Roman" w:hAnsi="Times New Roman" w:cs="Times New Roman"/>
                <w:b/>
                <w:bCs/>
              </w:rPr>
            </w:pPr>
            <w:r w:rsidRPr="00506117">
              <w:rPr>
                <w:rFonts w:ascii="Times New Roman" w:hAnsi="Times New Roman" w:cs="Times New Roman"/>
                <w:b/>
                <w:bCs/>
              </w:rPr>
              <w:t>Excluded Reference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2D030E" w14:textId="77777777" w:rsidR="00E46CD2" w:rsidRPr="00506117" w:rsidRDefault="00E46CD2" w:rsidP="002E51E4">
            <w:pPr>
              <w:rPr>
                <w:rFonts w:ascii="Times New Roman" w:hAnsi="Times New Roman" w:cs="Times New Roman"/>
                <w:b/>
                <w:bCs/>
              </w:rPr>
            </w:pPr>
            <w:r w:rsidRPr="00506117">
              <w:rPr>
                <w:rFonts w:ascii="Times New Roman" w:hAnsi="Times New Roman" w:cs="Times New Roman"/>
                <w:b/>
                <w:bCs/>
              </w:rPr>
              <w:t>Reason for Exclusion</w:t>
            </w:r>
          </w:p>
        </w:tc>
        <w:tc>
          <w:tcPr>
            <w:tcW w:w="42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2DB0474" w14:textId="77777777" w:rsidR="00E46CD2" w:rsidRPr="00506117" w:rsidRDefault="00E46CD2" w:rsidP="002E51E4">
            <w:pPr>
              <w:rPr>
                <w:rFonts w:ascii="Times New Roman" w:hAnsi="Times New Roman" w:cs="Times New Roman"/>
                <w:b/>
                <w:bCs/>
              </w:rPr>
            </w:pPr>
            <w:r w:rsidRPr="00506117">
              <w:rPr>
                <w:rFonts w:ascii="Times New Roman" w:hAnsi="Times New Roman" w:cs="Times New Roman"/>
                <w:b/>
                <w:bCs/>
              </w:rPr>
              <w:t>Retained Reference (most comprehensive)</w:t>
            </w:r>
          </w:p>
        </w:tc>
      </w:tr>
      <w:tr w:rsidR="00E46CD2" w:rsidRPr="00506117" w14:paraId="345B1D65" w14:textId="77777777" w:rsidTr="002E51E4">
        <w:trPr>
          <w:tblCellSpacing w:w="15" w:type="dxa"/>
        </w:trPr>
        <w:tc>
          <w:tcPr>
            <w:tcW w:w="3350" w:type="dxa"/>
            <w:vAlign w:val="center"/>
            <w:hideMark/>
          </w:tcPr>
          <w:p w14:paraId="30E21EF0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proofErr w:type="spellStart"/>
            <w:r w:rsidRPr="00506117">
              <w:rPr>
                <w:rFonts w:ascii="Times New Roman" w:hAnsi="Times New Roman" w:cs="Times New Roman"/>
              </w:rPr>
              <w:t>Frangoul</w:t>
            </w:r>
            <w:proofErr w:type="spellEnd"/>
            <w:r w:rsidRPr="00506117">
              <w:rPr>
                <w:rFonts w:ascii="Times New Roman" w:hAnsi="Times New Roman" w:cs="Times New Roman"/>
              </w:rPr>
              <w:t xml:space="preserve"> et al. N Engl J Med 2021;384:252–60</w:t>
            </w:r>
          </w:p>
        </w:tc>
        <w:tc>
          <w:tcPr>
            <w:tcW w:w="0" w:type="auto"/>
            <w:vAlign w:val="center"/>
            <w:hideMark/>
          </w:tcPr>
          <w:p w14:paraId="6DC9B66D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Initial first-in-human report; fully superseded by larger pivotal trials</w:t>
            </w:r>
          </w:p>
        </w:tc>
        <w:tc>
          <w:tcPr>
            <w:tcW w:w="4202" w:type="dxa"/>
            <w:vAlign w:val="center"/>
            <w:hideMark/>
          </w:tcPr>
          <w:p w14:paraId="6E685A3F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proofErr w:type="spellStart"/>
            <w:r w:rsidRPr="00506117">
              <w:rPr>
                <w:rFonts w:ascii="Times New Roman" w:hAnsi="Times New Roman" w:cs="Times New Roman"/>
              </w:rPr>
              <w:t>Frangoul</w:t>
            </w:r>
            <w:proofErr w:type="spellEnd"/>
            <w:r w:rsidRPr="00506117">
              <w:rPr>
                <w:rFonts w:ascii="Times New Roman" w:hAnsi="Times New Roman" w:cs="Times New Roman"/>
              </w:rPr>
              <w:t xml:space="preserve"> et al. N Engl J Med 2024;390:1649–62 (SCD) Locatelli et al. N Engl J Med 2024;390:1663–76 (TDT)</w:t>
            </w:r>
          </w:p>
        </w:tc>
      </w:tr>
      <w:tr w:rsidR="00E46CD2" w:rsidRPr="00506117" w14:paraId="2BC695A3" w14:textId="77777777" w:rsidTr="002E51E4">
        <w:trPr>
          <w:tblCellSpacing w:w="15" w:type="dxa"/>
        </w:trPr>
        <w:tc>
          <w:tcPr>
            <w:tcW w:w="3350" w:type="dxa"/>
            <w:vAlign w:val="center"/>
            <w:hideMark/>
          </w:tcPr>
          <w:p w14:paraId="268384EF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Early ASH/EHA abstracts on CTX001/exa-cel (2019–2022)</w:t>
            </w:r>
          </w:p>
        </w:tc>
        <w:tc>
          <w:tcPr>
            <w:tcW w:w="0" w:type="auto"/>
            <w:vAlign w:val="center"/>
            <w:hideMark/>
          </w:tcPr>
          <w:p w14:paraId="1E8F851D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Overlapping patients with pivotal publications</w:t>
            </w:r>
          </w:p>
        </w:tc>
        <w:tc>
          <w:tcPr>
            <w:tcW w:w="4202" w:type="dxa"/>
            <w:vAlign w:val="center"/>
            <w:hideMark/>
          </w:tcPr>
          <w:p w14:paraId="02F27D89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 xml:space="preserve">Locatelli 2024 &amp; </w:t>
            </w:r>
            <w:proofErr w:type="spellStart"/>
            <w:r w:rsidRPr="00506117">
              <w:rPr>
                <w:rFonts w:ascii="Times New Roman" w:hAnsi="Times New Roman" w:cs="Times New Roman"/>
              </w:rPr>
              <w:t>Frangoul</w:t>
            </w:r>
            <w:proofErr w:type="spellEnd"/>
            <w:r w:rsidRPr="00506117">
              <w:rPr>
                <w:rFonts w:ascii="Times New Roman" w:hAnsi="Times New Roman" w:cs="Times New Roman"/>
              </w:rPr>
              <w:t xml:space="preserve"> 2024</w:t>
            </w:r>
          </w:p>
        </w:tc>
      </w:tr>
      <w:tr w:rsidR="00E46CD2" w:rsidRPr="00506117" w14:paraId="0AE58E7C" w14:textId="77777777" w:rsidTr="002E51E4">
        <w:trPr>
          <w:tblCellSpacing w:w="15" w:type="dxa"/>
        </w:trPr>
        <w:tc>
          <w:tcPr>
            <w:tcW w:w="3350" w:type="dxa"/>
            <w:vAlign w:val="center"/>
            <w:hideMark/>
          </w:tcPr>
          <w:p w14:paraId="7C674FC7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Hu et al. Medicine (Baltimore) 2024;103:e38036</w:t>
            </w:r>
          </w:p>
        </w:tc>
        <w:tc>
          <w:tcPr>
            <w:tcW w:w="0" w:type="auto"/>
            <w:vAlign w:val="center"/>
            <w:hideMark/>
          </w:tcPr>
          <w:p w14:paraId="226C73AA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 xml:space="preserve">Narrative review </w:t>
            </w:r>
            <w:proofErr w:type="spellStart"/>
            <w:r w:rsidRPr="00506117">
              <w:rPr>
                <w:rFonts w:ascii="Times New Roman" w:hAnsi="Times New Roman" w:cs="Times New Roman"/>
              </w:rPr>
              <w:t>summarising</w:t>
            </w:r>
            <w:proofErr w:type="spellEnd"/>
            <w:r w:rsidRPr="00506117">
              <w:rPr>
                <w:rFonts w:ascii="Times New Roman" w:hAnsi="Times New Roman" w:cs="Times New Roman"/>
              </w:rPr>
              <w:t xml:space="preserve"> RM-001; no original patient-level data</w:t>
            </w:r>
          </w:p>
        </w:tc>
        <w:tc>
          <w:tcPr>
            <w:tcW w:w="4202" w:type="dxa"/>
            <w:vAlign w:val="center"/>
            <w:hideMark/>
          </w:tcPr>
          <w:p w14:paraId="359E09AA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Liu et al. 2024 (expanded RM-001 update)</w:t>
            </w:r>
          </w:p>
        </w:tc>
      </w:tr>
      <w:tr w:rsidR="00E46CD2" w:rsidRPr="00506117" w14:paraId="1EF9DFCC" w14:textId="77777777" w:rsidTr="002E51E4">
        <w:trPr>
          <w:tblCellSpacing w:w="15" w:type="dxa"/>
        </w:trPr>
        <w:tc>
          <w:tcPr>
            <w:tcW w:w="3350" w:type="dxa"/>
            <w:vAlign w:val="center"/>
            <w:hideMark/>
          </w:tcPr>
          <w:p w14:paraId="2397E8B7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Kanter et al. ClinicalTrials.gov NCT04819841 (2021)</w:t>
            </w:r>
          </w:p>
        </w:tc>
        <w:tc>
          <w:tcPr>
            <w:tcW w:w="0" w:type="auto"/>
            <w:vAlign w:val="center"/>
            <w:hideMark/>
          </w:tcPr>
          <w:p w14:paraId="15C77AC4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Trial protocol only; no outcome data</w:t>
            </w:r>
          </w:p>
        </w:tc>
        <w:tc>
          <w:tcPr>
            <w:tcW w:w="4202" w:type="dxa"/>
            <w:vAlign w:val="center"/>
            <w:hideMark/>
          </w:tcPr>
          <w:p w14:paraId="20BD7338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None (program terminated; no clinical data)</w:t>
            </w:r>
          </w:p>
        </w:tc>
      </w:tr>
      <w:tr w:rsidR="00E46CD2" w:rsidRPr="00506117" w14:paraId="3C6A65AF" w14:textId="77777777" w:rsidTr="002E51E4">
        <w:trPr>
          <w:tblCellSpacing w:w="15" w:type="dxa"/>
        </w:trPr>
        <w:tc>
          <w:tcPr>
            <w:tcW w:w="3350" w:type="dxa"/>
            <w:vAlign w:val="center"/>
            <w:hideMark/>
          </w:tcPr>
          <w:p w14:paraId="730B4E47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Multiple early conference abstracts on BRL-101 (2022–early 2023)</w:t>
            </w:r>
          </w:p>
        </w:tc>
        <w:tc>
          <w:tcPr>
            <w:tcW w:w="0" w:type="auto"/>
            <w:vAlign w:val="center"/>
            <w:hideMark/>
          </w:tcPr>
          <w:p w14:paraId="13C6EA57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Superseded by later follow-up abstracts/publications</w:t>
            </w:r>
          </w:p>
        </w:tc>
        <w:tc>
          <w:tcPr>
            <w:tcW w:w="4202" w:type="dxa"/>
            <w:vAlign w:val="center"/>
            <w:hideMark/>
          </w:tcPr>
          <w:p w14:paraId="5118B87D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Fu et al. 2023 &amp; Zheng et al. 2023</w:t>
            </w:r>
          </w:p>
        </w:tc>
      </w:tr>
      <w:tr w:rsidR="00E46CD2" w:rsidRPr="00506117" w14:paraId="6FB747AD" w14:textId="77777777" w:rsidTr="002E51E4">
        <w:trPr>
          <w:tblCellSpacing w:w="15" w:type="dxa"/>
        </w:trPr>
        <w:tc>
          <w:tcPr>
            <w:tcW w:w="3350" w:type="dxa"/>
            <w:tcBorders>
              <w:bottom w:val="single" w:sz="4" w:space="0" w:color="auto"/>
            </w:tcBorders>
            <w:vAlign w:val="center"/>
            <w:hideMark/>
          </w:tcPr>
          <w:p w14:paraId="58CBAEFC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Early BEAM-101 press releases / single-patient summaries (2023)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904CD2B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Superseded by BEACON Investigators 2024 interim report</w:t>
            </w:r>
          </w:p>
        </w:tc>
        <w:tc>
          <w:tcPr>
            <w:tcW w:w="4202" w:type="dxa"/>
            <w:tcBorders>
              <w:bottom w:val="single" w:sz="4" w:space="0" w:color="auto"/>
            </w:tcBorders>
            <w:vAlign w:val="center"/>
            <w:hideMark/>
          </w:tcPr>
          <w:p w14:paraId="683FB95E" w14:textId="77777777" w:rsidR="00E46CD2" w:rsidRPr="00506117" w:rsidRDefault="00E46CD2" w:rsidP="002E51E4">
            <w:pPr>
              <w:rPr>
                <w:rFonts w:ascii="Times New Roman" w:hAnsi="Times New Roman" w:cs="Times New Roman"/>
              </w:rPr>
            </w:pPr>
            <w:r w:rsidRPr="00506117">
              <w:rPr>
                <w:rFonts w:ascii="Times New Roman" w:hAnsi="Times New Roman" w:cs="Times New Roman"/>
              </w:rPr>
              <w:t>BEACON Investigators 2024</w:t>
            </w:r>
          </w:p>
        </w:tc>
      </w:tr>
    </w:tbl>
    <w:p w14:paraId="6545B3B4" w14:textId="77777777" w:rsidR="00E46CD2" w:rsidRPr="00506117" w:rsidRDefault="00E46CD2" w:rsidP="00E46CD2">
      <w:pPr>
        <w:rPr>
          <w:rFonts w:ascii="Times New Roman" w:hAnsi="Times New Roman" w:cs="Times New Roman"/>
        </w:rPr>
      </w:pPr>
    </w:p>
    <w:p w14:paraId="5304275A" w14:textId="77777777" w:rsidR="00BF5D12" w:rsidRDefault="00BF5D12" w:rsidP="00BF5D12">
      <w:pPr>
        <w:rPr>
          <w:rFonts w:ascii="Times New Roman" w:hAnsi="Times New Roman" w:cs="Times New Roman"/>
          <w:b/>
          <w:bCs/>
        </w:rPr>
      </w:pPr>
    </w:p>
    <w:p w14:paraId="38416B60" w14:textId="77777777" w:rsidR="00BF5D12" w:rsidRDefault="00BF5D12" w:rsidP="00BF5D12">
      <w:pPr>
        <w:rPr>
          <w:rFonts w:ascii="Times New Roman" w:hAnsi="Times New Roman" w:cs="Times New Roman"/>
          <w:b/>
          <w:bCs/>
        </w:rPr>
      </w:pPr>
    </w:p>
    <w:p w14:paraId="4C901ECC" w14:textId="77777777" w:rsidR="00BF5D12" w:rsidRDefault="00BF5D12" w:rsidP="00BF5D12">
      <w:pPr>
        <w:rPr>
          <w:rFonts w:ascii="Times New Roman" w:hAnsi="Times New Roman" w:cs="Times New Roman"/>
          <w:b/>
          <w:bCs/>
        </w:rPr>
      </w:pPr>
    </w:p>
    <w:p w14:paraId="518584AE" w14:textId="77777777" w:rsidR="00BF5D12" w:rsidRDefault="00BF5D12" w:rsidP="00BF5D12">
      <w:pPr>
        <w:rPr>
          <w:rFonts w:ascii="Times New Roman" w:hAnsi="Times New Roman" w:cs="Times New Roman"/>
          <w:b/>
          <w:bCs/>
        </w:rPr>
      </w:pPr>
    </w:p>
    <w:p w14:paraId="52360409" w14:textId="77777777" w:rsidR="00BF5D12" w:rsidRDefault="00BF5D12" w:rsidP="00BF5D12">
      <w:pPr>
        <w:rPr>
          <w:rFonts w:ascii="Times New Roman" w:hAnsi="Times New Roman" w:cs="Times New Roman"/>
          <w:b/>
          <w:bCs/>
        </w:rPr>
      </w:pPr>
    </w:p>
    <w:p w14:paraId="77A0E6E1" w14:textId="77777777" w:rsidR="00BF5D12" w:rsidRDefault="00BF5D12" w:rsidP="00BF5D12">
      <w:pPr>
        <w:rPr>
          <w:rFonts w:ascii="Times New Roman" w:hAnsi="Times New Roman" w:cs="Times New Roman"/>
          <w:b/>
          <w:bCs/>
        </w:rPr>
      </w:pPr>
    </w:p>
    <w:p w14:paraId="3A4B0DC0" w14:textId="77777777" w:rsidR="00BF5D12" w:rsidRDefault="00BF5D12" w:rsidP="00BF5D12">
      <w:pPr>
        <w:rPr>
          <w:rFonts w:ascii="Times New Roman" w:hAnsi="Times New Roman" w:cs="Times New Roman"/>
          <w:b/>
          <w:bCs/>
        </w:rPr>
      </w:pPr>
    </w:p>
    <w:p w14:paraId="039C95FC" w14:textId="77777777" w:rsidR="00BF5D12" w:rsidRDefault="00BF5D12" w:rsidP="00BF5D12">
      <w:pPr>
        <w:rPr>
          <w:rFonts w:ascii="Times New Roman" w:hAnsi="Times New Roman" w:cs="Times New Roman"/>
          <w:b/>
          <w:bCs/>
        </w:rPr>
      </w:pPr>
    </w:p>
    <w:p w14:paraId="157D6A2A" w14:textId="77777777" w:rsidR="00BF5D12" w:rsidRDefault="00BF5D12" w:rsidP="00BF5D12">
      <w:pPr>
        <w:rPr>
          <w:rFonts w:ascii="Times New Roman" w:hAnsi="Times New Roman" w:cs="Times New Roman"/>
          <w:b/>
          <w:bCs/>
        </w:rPr>
      </w:pPr>
    </w:p>
    <w:p w14:paraId="527E60AA" w14:textId="29329B52" w:rsidR="00BF5D12" w:rsidRPr="00BF5D12" w:rsidRDefault="00BF5D12" w:rsidP="00BF5D12">
      <w:pPr>
        <w:rPr>
          <w:rFonts w:ascii="Times New Roman" w:hAnsi="Times New Roman" w:cs="Times New Roman"/>
          <w:b/>
          <w:bCs/>
        </w:rPr>
      </w:pPr>
      <w:r w:rsidRPr="00BF5D12">
        <w:rPr>
          <w:rFonts w:ascii="Times New Roman" w:hAnsi="Times New Roman" w:cs="Times New Roman"/>
          <w:b/>
          <w:bCs/>
        </w:rPr>
        <w:lastRenderedPageBreak/>
        <w:t>Supplementary Table S3. Domain-Level Risk-of-Bias Assessment (ROBINS-I)</w:t>
      </w:r>
    </w:p>
    <w:tbl>
      <w:tblPr>
        <w:tblW w:w="0" w:type="auto"/>
        <w:tblCellSpacing w:w="15" w:type="dxa"/>
        <w:tblInd w:w="-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2"/>
        <w:gridCol w:w="1848"/>
        <w:gridCol w:w="5130"/>
      </w:tblGrid>
      <w:tr w:rsidR="00BF5D12" w:rsidRPr="00BF5D12" w14:paraId="6BC49295" w14:textId="77777777" w:rsidTr="00205F57">
        <w:trPr>
          <w:tblHeader/>
          <w:tblCellSpacing w:w="15" w:type="dxa"/>
        </w:trPr>
        <w:tc>
          <w:tcPr>
            <w:tcW w:w="2787" w:type="dxa"/>
            <w:tcBorders>
              <w:top w:val="single" w:sz="4" w:space="0" w:color="auto"/>
            </w:tcBorders>
            <w:vAlign w:val="center"/>
            <w:hideMark/>
          </w:tcPr>
          <w:p w14:paraId="554F3E50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F5D12">
              <w:rPr>
                <w:rFonts w:ascii="Times New Roman" w:hAnsi="Times New Roman" w:cs="Times New Roman"/>
                <w:b/>
                <w:bCs/>
              </w:rPr>
              <w:t>Bias Domain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  <w:hideMark/>
          </w:tcPr>
          <w:p w14:paraId="5C1653C2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F5D12">
              <w:rPr>
                <w:rFonts w:ascii="Times New Roman" w:hAnsi="Times New Roman" w:cs="Times New Roman"/>
                <w:b/>
                <w:bCs/>
              </w:rPr>
              <w:t>Overall Judgment</w:t>
            </w:r>
          </w:p>
        </w:tc>
        <w:tc>
          <w:tcPr>
            <w:tcW w:w="5085" w:type="dxa"/>
            <w:tcBorders>
              <w:top w:val="single" w:sz="4" w:space="0" w:color="auto"/>
            </w:tcBorders>
            <w:vAlign w:val="center"/>
            <w:hideMark/>
          </w:tcPr>
          <w:p w14:paraId="5F982B5E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F5D12">
              <w:rPr>
                <w:rFonts w:ascii="Times New Roman" w:hAnsi="Times New Roman" w:cs="Times New Roman"/>
                <w:b/>
                <w:bCs/>
              </w:rPr>
              <w:t>Rationale</w:t>
            </w:r>
          </w:p>
        </w:tc>
      </w:tr>
      <w:tr w:rsidR="00BF5D12" w:rsidRPr="00BF5D12" w14:paraId="622CEB9C" w14:textId="77777777" w:rsidTr="00205F57">
        <w:trPr>
          <w:tblCellSpacing w:w="15" w:type="dxa"/>
        </w:trPr>
        <w:tc>
          <w:tcPr>
            <w:tcW w:w="2787" w:type="dxa"/>
            <w:tcBorders>
              <w:top w:val="single" w:sz="4" w:space="0" w:color="auto"/>
            </w:tcBorders>
            <w:vAlign w:val="center"/>
            <w:hideMark/>
          </w:tcPr>
          <w:p w14:paraId="6F384B5F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F5D12">
              <w:rPr>
                <w:rFonts w:ascii="Times New Roman" w:hAnsi="Times New Roman" w:cs="Times New Roman"/>
              </w:rPr>
              <w:t>Confounding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  <w:hideMark/>
          </w:tcPr>
          <w:p w14:paraId="5DB0756B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F5D12">
              <w:rPr>
                <w:rFonts w:ascii="Times New Roman" w:hAnsi="Times New Roman" w:cs="Times New Roman"/>
              </w:rPr>
              <w:t>Moderate–Serious</w:t>
            </w:r>
          </w:p>
        </w:tc>
        <w:tc>
          <w:tcPr>
            <w:tcW w:w="5085" w:type="dxa"/>
            <w:tcBorders>
              <w:top w:val="single" w:sz="4" w:space="0" w:color="auto"/>
            </w:tcBorders>
            <w:vAlign w:val="center"/>
            <w:hideMark/>
          </w:tcPr>
          <w:p w14:paraId="55957817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F5D12">
              <w:rPr>
                <w:rFonts w:ascii="Times New Roman" w:hAnsi="Times New Roman" w:cs="Times New Roman"/>
              </w:rPr>
              <w:t>Single-arm designs; no randomized comparator; baseline disease severity and supportive care may influence outcomes</w:t>
            </w:r>
          </w:p>
        </w:tc>
      </w:tr>
      <w:tr w:rsidR="00BF5D12" w:rsidRPr="00BF5D12" w14:paraId="363E0320" w14:textId="77777777" w:rsidTr="00205F57">
        <w:trPr>
          <w:tblCellSpacing w:w="15" w:type="dxa"/>
        </w:trPr>
        <w:tc>
          <w:tcPr>
            <w:tcW w:w="2787" w:type="dxa"/>
            <w:vAlign w:val="center"/>
            <w:hideMark/>
          </w:tcPr>
          <w:p w14:paraId="7057B708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F5D12">
              <w:rPr>
                <w:rFonts w:ascii="Times New Roman" w:hAnsi="Times New Roman" w:cs="Times New Roman"/>
              </w:rPr>
              <w:t>Selection of participants</w:t>
            </w:r>
          </w:p>
        </w:tc>
        <w:tc>
          <w:tcPr>
            <w:tcW w:w="1818" w:type="dxa"/>
            <w:vAlign w:val="center"/>
            <w:hideMark/>
          </w:tcPr>
          <w:p w14:paraId="7015954E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F5D12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5085" w:type="dxa"/>
            <w:vAlign w:val="center"/>
            <w:hideMark/>
          </w:tcPr>
          <w:p w14:paraId="070DC4A8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F5D12">
              <w:rPr>
                <w:rFonts w:ascii="Times New Roman" w:hAnsi="Times New Roman" w:cs="Times New Roman"/>
              </w:rPr>
              <w:t>Enrollment at expert centers; exclusion of patients with advanced organ damage</w:t>
            </w:r>
          </w:p>
        </w:tc>
      </w:tr>
      <w:tr w:rsidR="00BF5D12" w:rsidRPr="00BF5D12" w14:paraId="62C02D39" w14:textId="77777777" w:rsidTr="00205F57">
        <w:trPr>
          <w:tblCellSpacing w:w="15" w:type="dxa"/>
        </w:trPr>
        <w:tc>
          <w:tcPr>
            <w:tcW w:w="2787" w:type="dxa"/>
            <w:vAlign w:val="center"/>
            <w:hideMark/>
          </w:tcPr>
          <w:p w14:paraId="040AAEE8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F5D12">
              <w:rPr>
                <w:rFonts w:ascii="Times New Roman" w:hAnsi="Times New Roman" w:cs="Times New Roman"/>
              </w:rPr>
              <w:t>Classification of interventions</w:t>
            </w:r>
          </w:p>
        </w:tc>
        <w:tc>
          <w:tcPr>
            <w:tcW w:w="1818" w:type="dxa"/>
            <w:vAlign w:val="center"/>
            <w:hideMark/>
          </w:tcPr>
          <w:p w14:paraId="28E4AA50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F5D12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5085" w:type="dxa"/>
            <w:vAlign w:val="center"/>
            <w:hideMark/>
          </w:tcPr>
          <w:p w14:paraId="67668318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F5D12">
              <w:rPr>
                <w:rFonts w:ascii="Times New Roman" w:hAnsi="Times New Roman" w:cs="Times New Roman"/>
              </w:rPr>
              <w:t>Editing platforms and conditioning regimens clearly defined</w:t>
            </w:r>
          </w:p>
        </w:tc>
      </w:tr>
      <w:tr w:rsidR="00BF5D12" w:rsidRPr="00BF5D12" w14:paraId="37652497" w14:textId="77777777" w:rsidTr="00205F57">
        <w:trPr>
          <w:tblCellSpacing w:w="15" w:type="dxa"/>
        </w:trPr>
        <w:tc>
          <w:tcPr>
            <w:tcW w:w="2787" w:type="dxa"/>
            <w:vAlign w:val="center"/>
            <w:hideMark/>
          </w:tcPr>
          <w:p w14:paraId="0193C711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F5D12">
              <w:rPr>
                <w:rFonts w:ascii="Times New Roman" w:hAnsi="Times New Roman" w:cs="Times New Roman"/>
              </w:rPr>
              <w:t>Deviations from intended interventions</w:t>
            </w:r>
          </w:p>
        </w:tc>
        <w:tc>
          <w:tcPr>
            <w:tcW w:w="1818" w:type="dxa"/>
            <w:vAlign w:val="center"/>
            <w:hideMark/>
          </w:tcPr>
          <w:p w14:paraId="1D48851C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F5D12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5085" w:type="dxa"/>
            <w:vAlign w:val="center"/>
            <w:hideMark/>
          </w:tcPr>
          <w:p w14:paraId="022743EA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F5D12">
              <w:rPr>
                <w:rFonts w:ascii="Times New Roman" w:hAnsi="Times New Roman" w:cs="Times New Roman"/>
              </w:rPr>
              <w:t>High protocol adherence; minimal cross-over</w:t>
            </w:r>
          </w:p>
        </w:tc>
      </w:tr>
      <w:tr w:rsidR="00BF5D12" w:rsidRPr="00BF5D12" w14:paraId="0212A1C2" w14:textId="77777777" w:rsidTr="00205F57">
        <w:trPr>
          <w:tblCellSpacing w:w="15" w:type="dxa"/>
        </w:trPr>
        <w:tc>
          <w:tcPr>
            <w:tcW w:w="2787" w:type="dxa"/>
            <w:vAlign w:val="center"/>
            <w:hideMark/>
          </w:tcPr>
          <w:p w14:paraId="3E397602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F5D12">
              <w:rPr>
                <w:rFonts w:ascii="Times New Roman" w:hAnsi="Times New Roman" w:cs="Times New Roman"/>
              </w:rPr>
              <w:t>Missing data</w:t>
            </w:r>
          </w:p>
        </w:tc>
        <w:tc>
          <w:tcPr>
            <w:tcW w:w="1818" w:type="dxa"/>
            <w:vAlign w:val="center"/>
            <w:hideMark/>
          </w:tcPr>
          <w:p w14:paraId="3D7105EA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F5D12">
              <w:rPr>
                <w:rFonts w:ascii="Times New Roman" w:hAnsi="Times New Roman" w:cs="Times New Roman"/>
              </w:rPr>
              <w:t>Low–Moderate</w:t>
            </w:r>
          </w:p>
        </w:tc>
        <w:tc>
          <w:tcPr>
            <w:tcW w:w="5085" w:type="dxa"/>
            <w:vAlign w:val="center"/>
            <w:hideMark/>
          </w:tcPr>
          <w:p w14:paraId="33FCBE05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F5D12">
              <w:rPr>
                <w:rFonts w:ascii="Times New Roman" w:hAnsi="Times New Roman" w:cs="Times New Roman"/>
              </w:rPr>
              <w:t>Primary hematologic endpoints well reported; long-term safety outcomes still maturing</w:t>
            </w:r>
          </w:p>
        </w:tc>
      </w:tr>
      <w:tr w:rsidR="00BF5D12" w:rsidRPr="00BF5D12" w14:paraId="15CF457C" w14:textId="77777777" w:rsidTr="00205F57">
        <w:trPr>
          <w:tblCellSpacing w:w="15" w:type="dxa"/>
        </w:trPr>
        <w:tc>
          <w:tcPr>
            <w:tcW w:w="2787" w:type="dxa"/>
            <w:vAlign w:val="center"/>
            <w:hideMark/>
          </w:tcPr>
          <w:p w14:paraId="1FD43E16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F5D12">
              <w:rPr>
                <w:rFonts w:ascii="Times New Roman" w:hAnsi="Times New Roman" w:cs="Times New Roman"/>
              </w:rPr>
              <w:t>Measurement of outcomes</w:t>
            </w:r>
          </w:p>
        </w:tc>
        <w:tc>
          <w:tcPr>
            <w:tcW w:w="1818" w:type="dxa"/>
            <w:vAlign w:val="center"/>
            <w:hideMark/>
          </w:tcPr>
          <w:p w14:paraId="2C5E84B9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F5D12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5085" w:type="dxa"/>
            <w:vAlign w:val="center"/>
            <w:hideMark/>
          </w:tcPr>
          <w:p w14:paraId="41167690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F5D12">
              <w:rPr>
                <w:rFonts w:ascii="Times New Roman" w:hAnsi="Times New Roman" w:cs="Times New Roman"/>
              </w:rPr>
              <w:t>Objective outcomes (Hb, transfusion independence); adjudicated VOCs in major trials</w:t>
            </w:r>
          </w:p>
        </w:tc>
      </w:tr>
      <w:tr w:rsidR="00BF5D12" w:rsidRPr="00BF5D12" w14:paraId="48AA4BB2" w14:textId="77777777" w:rsidTr="00205F57">
        <w:trPr>
          <w:tblCellSpacing w:w="15" w:type="dxa"/>
        </w:trPr>
        <w:tc>
          <w:tcPr>
            <w:tcW w:w="2787" w:type="dxa"/>
            <w:tcBorders>
              <w:bottom w:val="single" w:sz="4" w:space="0" w:color="auto"/>
            </w:tcBorders>
            <w:vAlign w:val="center"/>
            <w:hideMark/>
          </w:tcPr>
          <w:p w14:paraId="4BA97159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F5D12">
              <w:rPr>
                <w:rFonts w:ascii="Times New Roman" w:hAnsi="Times New Roman" w:cs="Times New Roman"/>
              </w:rPr>
              <w:t>Selection of reported results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  <w:hideMark/>
          </w:tcPr>
          <w:p w14:paraId="3E6E523A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F5D12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5085" w:type="dxa"/>
            <w:tcBorders>
              <w:bottom w:val="single" w:sz="4" w:space="0" w:color="auto"/>
            </w:tcBorders>
            <w:vAlign w:val="center"/>
            <w:hideMark/>
          </w:tcPr>
          <w:p w14:paraId="29554E51" w14:textId="77777777" w:rsidR="00BF5D12" w:rsidRPr="00BF5D12" w:rsidRDefault="00BF5D12" w:rsidP="00BF5D1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F5D12">
              <w:rPr>
                <w:rFonts w:ascii="Times New Roman" w:hAnsi="Times New Roman" w:cs="Times New Roman"/>
              </w:rPr>
              <w:t>Interim and conference reports raise risk of selective reporting</w:t>
            </w:r>
          </w:p>
        </w:tc>
      </w:tr>
    </w:tbl>
    <w:p w14:paraId="3E0BE3F9" w14:textId="77777777" w:rsidR="00E46CD2" w:rsidRPr="00FB54C4" w:rsidRDefault="00E46CD2" w:rsidP="00BF5D12">
      <w:pPr>
        <w:spacing w:line="240" w:lineRule="auto"/>
        <w:contextualSpacing/>
        <w:rPr>
          <w:rFonts w:ascii="Times New Roman" w:hAnsi="Times New Roman" w:cs="Times New Roman"/>
        </w:rPr>
      </w:pPr>
    </w:p>
    <w:p w14:paraId="0DA6C509" w14:textId="77777777" w:rsidR="00DB68A2" w:rsidRPr="00E46CD2" w:rsidRDefault="00DB68A2" w:rsidP="00BF5D12">
      <w:pPr>
        <w:spacing w:line="240" w:lineRule="auto"/>
        <w:contextualSpacing/>
      </w:pPr>
    </w:p>
    <w:sectPr w:rsidR="00DB68A2" w:rsidRPr="00E46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A627C"/>
    <w:multiLevelType w:val="hybridMultilevel"/>
    <w:tmpl w:val="A2AAD228"/>
    <w:lvl w:ilvl="0" w:tplc="5FD4ACB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B111A"/>
    <w:multiLevelType w:val="hybridMultilevel"/>
    <w:tmpl w:val="8DD80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073B7"/>
    <w:multiLevelType w:val="multilevel"/>
    <w:tmpl w:val="F1783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7F"/>
    <w:rsid w:val="001001C8"/>
    <w:rsid w:val="00147CE1"/>
    <w:rsid w:val="00205F57"/>
    <w:rsid w:val="00271839"/>
    <w:rsid w:val="00281B98"/>
    <w:rsid w:val="00294605"/>
    <w:rsid w:val="002B6CBA"/>
    <w:rsid w:val="0045458B"/>
    <w:rsid w:val="0048633C"/>
    <w:rsid w:val="005A7AC6"/>
    <w:rsid w:val="006C0D5A"/>
    <w:rsid w:val="008048FD"/>
    <w:rsid w:val="00873727"/>
    <w:rsid w:val="009D7344"/>
    <w:rsid w:val="00A14D51"/>
    <w:rsid w:val="00A312EB"/>
    <w:rsid w:val="00B029B8"/>
    <w:rsid w:val="00B20C5A"/>
    <w:rsid w:val="00B67AB1"/>
    <w:rsid w:val="00BD7A32"/>
    <w:rsid w:val="00BF50EA"/>
    <w:rsid w:val="00BF5D12"/>
    <w:rsid w:val="00C01BCC"/>
    <w:rsid w:val="00C30026"/>
    <w:rsid w:val="00CF3F35"/>
    <w:rsid w:val="00DB68A2"/>
    <w:rsid w:val="00E44D98"/>
    <w:rsid w:val="00E46CD2"/>
    <w:rsid w:val="00E9117F"/>
    <w:rsid w:val="00EF0E43"/>
    <w:rsid w:val="00F3739D"/>
    <w:rsid w:val="00F6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DED0"/>
  <w15:chartTrackingRefBased/>
  <w15:docId w15:val="{1333C32E-A91D-4631-B66F-D791A9D2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CD2"/>
  </w:style>
  <w:style w:type="paragraph" w:styleId="Heading1">
    <w:name w:val="heading 1"/>
    <w:basedOn w:val="Normal"/>
    <w:next w:val="Normal"/>
    <w:link w:val="Heading1Char"/>
    <w:uiPriority w:val="9"/>
    <w:qFormat/>
    <w:rsid w:val="00E91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1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1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1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68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8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68A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Sunkanmi Folorunsho</dc:creator>
  <cp:keywords/>
  <dc:description/>
  <cp:lastModifiedBy>Gavkhar Gaipova</cp:lastModifiedBy>
  <cp:revision>2</cp:revision>
  <dcterms:created xsi:type="dcterms:W3CDTF">2026-01-13T18:05:00Z</dcterms:created>
  <dcterms:modified xsi:type="dcterms:W3CDTF">2026-01-13T18:05:00Z</dcterms:modified>
</cp:coreProperties>
</file>